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44"/>
      </w:tblGrid>
      <w:tr w:rsidR="000347D3" w14:paraId="1F7CA025" w14:textId="77777777">
        <w:tblPrEx>
          <w:tblCellMar>
            <w:top w:w="0" w:type="dxa"/>
            <w:bottom w:w="0" w:type="dxa"/>
          </w:tblCellMar>
        </w:tblPrEx>
        <w:tc>
          <w:tcPr>
            <w:tcW w:w="8844" w:type="dxa"/>
            <w:tcBorders>
              <w:top w:val="single" w:sz="24" w:space="0" w:color="342A06"/>
              <w:left w:val="single" w:sz="24" w:space="0" w:color="342A06"/>
              <w:bottom w:val="single" w:sz="24" w:space="0" w:color="342A06"/>
              <w:right w:val="single" w:sz="24" w:space="0" w:color="342A06"/>
            </w:tcBorders>
            <w:shd w:val="clear" w:color="auto" w:fill="F6F9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24AA" w14:textId="77777777" w:rsidR="000347D3" w:rsidRDefault="005967A0">
            <w:pPr>
              <w:pStyle w:val="Standard"/>
              <w:spacing w:before="312" w:after="0" w:line="240" w:lineRule="auto"/>
              <w:jc w:val="center"/>
              <w:rPr>
                <w:rFonts w:ascii="標楷體" w:eastAsia="標楷體" w:hAnsi="標楷體"/>
                <w:b/>
                <w:bCs/>
                <w:color w:val="342A06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342A06"/>
                <w:sz w:val="32"/>
                <w:szCs w:val="32"/>
              </w:rPr>
              <w:t>公平交易委員會</w:t>
            </w:r>
          </w:p>
          <w:p w14:paraId="6D624E32" w14:textId="77777777" w:rsidR="000347D3" w:rsidRDefault="005967A0">
            <w:pPr>
              <w:pStyle w:val="Standard"/>
              <w:spacing w:before="0" w:after="0" w:line="240" w:lineRule="auto"/>
              <w:ind w:left="1217" w:hanging="1217"/>
              <w:jc w:val="center"/>
              <w:rPr>
                <w:rFonts w:ascii="標楷體" w:eastAsia="標楷體" w:hAnsi="標楷體"/>
                <w:b/>
                <w:bCs/>
                <w:color w:val="342A06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342A06"/>
                <w:sz w:val="32"/>
                <w:szCs w:val="32"/>
              </w:rPr>
              <w:t>第</w:t>
            </w:r>
            <w:r>
              <w:rPr>
                <w:rFonts w:ascii="標楷體" w:eastAsia="標楷體" w:hAnsi="標楷體"/>
                <w:b/>
                <w:bCs/>
                <w:color w:val="342A06"/>
                <w:sz w:val="32"/>
                <w:szCs w:val="32"/>
              </w:rPr>
              <w:t>33</w:t>
            </w:r>
            <w:r>
              <w:rPr>
                <w:rFonts w:ascii="標楷體" w:eastAsia="標楷體" w:hAnsi="標楷體"/>
                <w:b/>
                <w:bCs/>
                <w:color w:val="342A06"/>
                <w:sz w:val="32"/>
                <w:szCs w:val="32"/>
              </w:rPr>
              <w:t>屆「競爭政策與公平交易法學術研討會」</w:t>
            </w:r>
          </w:p>
          <w:p w14:paraId="6F5EB618" w14:textId="77777777" w:rsidR="000347D3" w:rsidRDefault="005967A0">
            <w:pPr>
              <w:pStyle w:val="Standard"/>
              <w:spacing w:before="0" w:after="312" w:line="240" w:lineRule="auto"/>
              <w:ind w:left="1217" w:hanging="1217"/>
              <w:jc w:val="center"/>
              <w:rPr>
                <w:rFonts w:ascii="標楷體" w:eastAsia="標楷體" w:hAnsi="標楷體"/>
                <w:b/>
                <w:bCs/>
                <w:color w:val="342A06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342A06"/>
                <w:sz w:val="32"/>
                <w:szCs w:val="32"/>
              </w:rPr>
              <w:t>徵稿須知</w:t>
            </w:r>
          </w:p>
        </w:tc>
      </w:tr>
    </w:tbl>
    <w:p w14:paraId="0B1874CD" w14:textId="77777777" w:rsidR="000347D3" w:rsidRDefault="000347D3">
      <w:pPr>
        <w:pStyle w:val="Standard"/>
        <w:jc w:val="center"/>
      </w:pPr>
    </w:p>
    <w:p w14:paraId="44458948" w14:textId="77777777" w:rsidR="000347D3" w:rsidRDefault="005967A0">
      <w:pPr>
        <w:pStyle w:val="Standard"/>
        <w:spacing w:after="312"/>
        <w:rPr>
          <w:rFonts w:ascii="標楷體" w:eastAsia="標楷體" w:hAnsi="標楷體"/>
          <w:b/>
          <w:color w:val="342A06"/>
          <w:sz w:val="28"/>
          <w:szCs w:val="28"/>
        </w:rPr>
      </w:pPr>
      <w:r>
        <w:rPr>
          <w:rFonts w:ascii="標楷體" w:eastAsia="標楷體" w:hAnsi="標楷體"/>
          <w:b/>
          <w:color w:val="342A06"/>
          <w:sz w:val="28"/>
          <w:szCs w:val="28"/>
        </w:rPr>
        <w:t>【研討會日期】</w:t>
      </w:r>
    </w:p>
    <w:p w14:paraId="3AB05A76" w14:textId="77777777" w:rsidR="000347D3" w:rsidRDefault="005967A0">
      <w:pPr>
        <w:pStyle w:val="Standard"/>
        <w:ind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預定於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月中旬至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月上旬間，擇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日辦理。</w:t>
      </w:r>
    </w:p>
    <w:p w14:paraId="1A8B2966" w14:textId="77777777" w:rsidR="000347D3" w:rsidRDefault="005967A0">
      <w:pPr>
        <w:pStyle w:val="Standard"/>
        <w:spacing w:before="312" w:after="312"/>
        <w:rPr>
          <w:rFonts w:ascii="標楷體" w:eastAsia="標楷體" w:hAnsi="標楷體"/>
          <w:b/>
          <w:color w:val="342A06"/>
          <w:sz w:val="28"/>
          <w:szCs w:val="28"/>
        </w:rPr>
      </w:pPr>
      <w:r>
        <w:rPr>
          <w:rFonts w:ascii="標楷體" w:eastAsia="標楷體" w:hAnsi="標楷體"/>
          <w:b/>
          <w:color w:val="342A06"/>
          <w:sz w:val="28"/>
          <w:szCs w:val="28"/>
        </w:rPr>
        <w:t>【徵稿主題】</w:t>
      </w:r>
    </w:p>
    <w:p w14:paraId="67C0014C" w14:textId="77777777" w:rsidR="000347D3" w:rsidRDefault="005967A0">
      <w:pPr>
        <w:pStyle w:val="Standard"/>
        <w:ind w:left="284" w:hanging="3"/>
      </w:pPr>
      <w:r>
        <w:rPr>
          <w:rFonts w:ascii="標楷體" w:eastAsia="標楷體" w:hAnsi="標楷體"/>
          <w:sz w:val="28"/>
          <w:szCs w:val="28"/>
        </w:rPr>
        <w:t>徵求有關數位經濟、程序透明、</w:t>
      </w:r>
      <w:r>
        <w:rPr>
          <w:rFonts w:eastAsia="標楷體"/>
          <w:color w:val="000000"/>
          <w:sz w:val="30"/>
          <w:szCs w:val="30"/>
        </w:rPr>
        <w:t>競爭執法影響評估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永續發展及性別平等主題，且與公平交易法制相關之論文稿件。</w:t>
      </w:r>
    </w:p>
    <w:p w14:paraId="4BFEB93E" w14:textId="77777777" w:rsidR="000347D3" w:rsidRDefault="005967A0">
      <w:pPr>
        <w:pStyle w:val="Standard"/>
        <w:spacing w:before="312" w:after="312"/>
        <w:rPr>
          <w:rFonts w:ascii="標楷體" w:eastAsia="標楷體" w:hAnsi="標楷體"/>
          <w:b/>
          <w:color w:val="342A06"/>
          <w:sz w:val="28"/>
          <w:szCs w:val="28"/>
        </w:rPr>
      </w:pPr>
      <w:r>
        <w:rPr>
          <w:rFonts w:ascii="標楷體" w:eastAsia="標楷體" w:hAnsi="標楷體"/>
          <w:b/>
          <w:color w:val="342A06"/>
          <w:sz w:val="28"/>
          <w:szCs w:val="28"/>
        </w:rPr>
        <w:t>【徵稿方式】</w:t>
      </w:r>
    </w:p>
    <w:p w14:paraId="06156A4D" w14:textId="77777777" w:rsidR="000347D3" w:rsidRDefault="005967A0">
      <w:pPr>
        <w:pStyle w:val="a5"/>
        <w:numPr>
          <w:ilvl w:val="0"/>
          <w:numId w:val="13"/>
        </w:numPr>
        <w:ind w:left="952" w:hanging="66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對象：各大專院校教師及研究生、產業界與專業機構等學者專家或研究人員。</w:t>
      </w:r>
    </w:p>
    <w:p w14:paraId="7E9BB93A" w14:textId="77777777" w:rsidR="000347D3" w:rsidRDefault="005967A0">
      <w:pPr>
        <w:pStyle w:val="a5"/>
        <w:numPr>
          <w:ilvl w:val="0"/>
          <w:numId w:val="11"/>
        </w:numPr>
        <w:ind w:left="952" w:hanging="6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期間：即日起至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截止，並將於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月底前通知審查結果。</w:t>
      </w:r>
    </w:p>
    <w:p w14:paraId="371DDB2F" w14:textId="77777777" w:rsidR="000347D3" w:rsidRDefault="005967A0">
      <w:pPr>
        <w:pStyle w:val="a5"/>
        <w:numPr>
          <w:ilvl w:val="0"/>
          <w:numId w:val="11"/>
        </w:numPr>
        <w:ind w:left="952" w:hanging="66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採摘要投稿，撰寫語言以中文為主，並以</w:t>
      </w:r>
      <w:r>
        <w:rPr>
          <w:rFonts w:ascii="標楷體" w:eastAsia="標楷體" w:hAnsi="標楷體"/>
          <w:color w:val="000000"/>
          <w:sz w:val="28"/>
          <w:szCs w:val="28"/>
        </w:rPr>
        <w:t>1,000</w:t>
      </w:r>
      <w:r>
        <w:rPr>
          <w:rFonts w:ascii="標楷體" w:eastAsia="標楷體" w:hAnsi="標楷體"/>
          <w:color w:val="000000"/>
          <w:sz w:val="28"/>
          <w:szCs w:val="28"/>
        </w:rPr>
        <w:t>字為原則，摘要內容應包括研究主題、研究方法、研究架構及內容。</w:t>
      </w:r>
    </w:p>
    <w:p w14:paraId="0F6E7052" w14:textId="77777777" w:rsidR="000347D3" w:rsidRDefault="005967A0">
      <w:pPr>
        <w:pStyle w:val="a5"/>
        <w:numPr>
          <w:ilvl w:val="0"/>
          <w:numId w:val="11"/>
        </w:numPr>
        <w:ind w:left="952" w:hanging="66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電子檔請以</w:t>
      </w:r>
      <w:r>
        <w:rPr>
          <w:rFonts w:ascii="標楷體" w:eastAsia="標楷體" w:hAnsi="標楷體"/>
          <w:color w:val="000000"/>
          <w:sz w:val="28"/>
          <w:szCs w:val="28"/>
        </w:rPr>
        <w:t>Microsoft Word</w:t>
      </w:r>
      <w:r>
        <w:rPr>
          <w:rFonts w:ascii="標楷體" w:eastAsia="標楷體" w:hAnsi="標楷體"/>
          <w:color w:val="000000"/>
          <w:sz w:val="28"/>
          <w:szCs w:val="28"/>
        </w:rPr>
        <w:t>編輯，意者請填具報名表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格式如後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，以電子郵件或書面寄送本會。本會收到後將予回復，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倘未獲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回復請來電確認。</w:t>
      </w:r>
    </w:p>
    <w:p w14:paraId="1AD7AFE4" w14:textId="77777777" w:rsidR="000347D3" w:rsidRDefault="005967A0">
      <w:pPr>
        <w:pStyle w:val="a5"/>
        <w:numPr>
          <w:ilvl w:val="0"/>
          <w:numId w:val="11"/>
        </w:numPr>
        <w:ind w:left="952" w:hanging="6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經本會審查通過者，須依研討會要求格式撰寫稿件，將以每千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字新臺幣</w:t>
      </w:r>
      <w:r>
        <w:rPr>
          <w:rFonts w:ascii="標楷體" w:eastAsia="標楷體" w:hAnsi="標楷體"/>
          <w:color w:val="000000"/>
          <w:sz w:val="28"/>
          <w:szCs w:val="28"/>
        </w:rPr>
        <w:t>1,600</w:t>
      </w:r>
      <w:r>
        <w:rPr>
          <w:rFonts w:ascii="標楷體" w:eastAsia="標楷體" w:hAnsi="標楷體"/>
          <w:color w:val="000000"/>
          <w:sz w:val="28"/>
          <w:szCs w:val="28"/>
        </w:rPr>
        <w:t>元計算稿酬，並以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萬字為上限。作者須出席研討會發表，除與本會邀請之與談人進行討論外，撰稿內容本會得收錄於會後出版之研討會論文集，並將電子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檔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建置於本會網站，提供讀者進行檢索、閱覽、下載、列印等個人非營利性質之利用。</w:t>
      </w:r>
    </w:p>
    <w:p w14:paraId="5F8376D9" w14:textId="77777777" w:rsidR="000347D3" w:rsidRDefault="005967A0">
      <w:pPr>
        <w:pStyle w:val="a5"/>
        <w:numPr>
          <w:ilvl w:val="0"/>
          <w:numId w:val="11"/>
        </w:numPr>
        <w:ind w:left="952" w:hanging="66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通過摘要審查者之全文繳交日期：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星期一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51734570" w14:textId="77777777" w:rsidR="000347D3" w:rsidRDefault="005967A0">
      <w:pPr>
        <w:pStyle w:val="a5"/>
        <w:numPr>
          <w:ilvl w:val="0"/>
          <w:numId w:val="11"/>
        </w:numPr>
        <w:ind w:left="952" w:hanging="66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研討會中發表之論文，會後歡迎作者投稿至本會出版之「公平交易季刊」。</w:t>
      </w:r>
    </w:p>
    <w:p w14:paraId="4E3BB506" w14:textId="77777777" w:rsidR="000347D3" w:rsidRDefault="005967A0">
      <w:pPr>
        <w:pStyle w:val="a5"/>
        <w:numPr>
          <w:ilvl w:val="0"/>
          <w:numId w:val="11"/>
        </w:numPr>
        <w:ind w:left="952" w:hanging="6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相關議題參考資料連結：</w:t>
      </w:r>
    </w:p>
    <w:p w14:paraId="639C9120" w14:textId="77777777" w:rsidR="000347D3" w:rsidRDefault="005967A0">
      <w:pPr>
        <w:pStyle w:val="a5"/>
        <w:widowControl/>
        <w:numPr>
          <w:ilvl w:val="0"/>
          <w:numId w:val="14"/>
        </w:numPr>
        <w:spacing w:line="0" w:lineRule="atLeast"/>
        <w:outlineLvl w:val="0"/>
      </w:pPr>
      <w:r>
        <w:rPr>
          <w:rFonts w:ascii="標楷體" w:eastAsia="標楷體" w:hAnsi="標楷體"/>
          <w:sz w:val="28"/>
          <w:szCs w:val="28"/>
        </w:rPr>
        <w:t>數位經濟：</w:t>
      </w:r>
      <w:hyperlink r:id="rId7" w:history="1">
        <w:r>
          <w:rPr>
            <w:rStyle w:val="Internetlink"/>
            <w:rFonts w:ascii="標楷體" w:eastAsia="標楷體" w:hAnsi="標楷體"/>
            <w:szCs w:val="24"/>
          </w:rPr>
          <w:t>https://www.oecd.org/en/topics/competition-and-digital-economy.html</w:t>
        </w:r>
      </w:hyperlink>
    </w:p>
    <w:p w14:paraId="087872B0" w14:textId="77777777" w:rsidR="000347D3" w:rsidRDefault="005967A0">
      <w:pPr>
        <w:pStyle w:val="Standard"/>
        <w:widowControl/>
        <w:spacing w:line="0" w:lineRule="atLeast"/>
        <w:ind w:left="1129" w:hanging="848"/>
        <w:outlineLvl w:val="0"/>
      </w:pPr>
      <w:r>
        <w:rPr>
          <w:rFonts w:ascii="標楷體" w:eastAsia="標楷體" w:hAnsi="標楷體"/>
          <w:sz w:val="28"/>
          <w:szCs w:val="28"/>
        </w:rPr>
        <w:t>（二）程序透明：</w:t>
      </w:r>
      <w:hyperlink r:id="rId8" w:history="1">
        <w:r>
          <w:rPr>
            <w:rStyle w:val="Internetlink"/>
            <w:rFonts w:ascii="標楷體" w:eastAsia="標楷體" w:hAnsi="標楷體"/>
            <w:szCs w:val="24"/>
          </w:rPr>
          <w:t>https://www.oecd.org/en/topics/sub-issues/competition-enforcement/transparency-and-procedural-fairness-in-competition-law-enforcement.html</w:t>
        </w:r>
      </w:hyperlink>
    </w:p>
    <w:p w14:paraId="0FD4794C" w14:textId="77777777" w:rsidR="000347D3" w:rsidRDefault="005967A0">
      <w:pPr>
        <w:pStyle w:val="Standard"/>
        <w:widowControl/>
        <w:spacing w:line="0" w:lineRule="atLeast"/>
        <w:ind w:left="1129" w:hanging="848"/>
        <w:outlineLvl w:val="0"/>
      </w:pPr>
      <w:r>
        <w:rPr>
          <w:rFonts w:ascii="標楷體" w:eastAsia="標楷體" w:hAnsi="標楷體"/>
          <w:sz w:val="28"/>
          <w:szCs w:val="28"/>
        </w:rPr>
        <w:t>（三）</w:t>
      </w:r>
      <w:r>
        <w:rPr>
          <w:rStyle w:val="Internetlink"/>
          <w:rFonts w:ascii="標楷體" w:eastAsia="標楷體" w:hAnsi="標楷體"/>
          <w:color w:val="000000"/>
          <w:sz w:val="30"/>
          <w:szCs w:val="30"/>
        </w:rPr>
        <w:t>競爭執法影響評估</w:t>
      </w:r>
      <w:r>
        <w:rPr>
          <w:rFonts w:ascii="標楷體" w:eastAsia="標楷體" w:hAnsi="標楷體"/>
          <w:color w:val="000000"/>
          <w:sz w:val="30"/>
          <w:szCs w:val="30"/>
        </w:rPr>
        <w:t>：</w:t>
      </w:r>
      <w:r>
        <w:rPr>
          <w:rStyle w:val="Internetlink"/>
          <w:rFonts w:ascii="標楷體" w:eastAsia="標楷體" w:hAnsi="標楷體" w:cs="標楷體"/>
          <w:szCs w:val="24"/>
        </w:rPr>
        <w:t>https://www.oecd.org/en/events/2025/06/assessi</w:t>
      </w:r>
      <w:r>
        <w:rPr>
          <w:rStyle w:val="Internetlink"/>
          <w:rFonts w:ascii="標楷體" w:eastAsia="標楷體" w:hAnsi="標楷體" w:cs="標楷體"/>
          <w:szCs w:val="24"/>
        </w:rPr>
        <w:t>ng-the-impact-of-</w:t>
      </w:r>
      <w:hyperlink r:id="rId9" w:history="1">
        <w:r>
          <w:rPr>
            <w:rStyle w:val="Internetlink"/>
            <w:rFonts w:ascii="標楷體" w:eastAsia="標楷體" w:hAnsi="標楷體" w:cs="標楷體"/>
            <w:szCs w:val="24"/>
          </w:rPr>
          <w:t>competition</w:t>
        </w:r>
      </w:hyperlink>
      <w:r>
        <w:rPr>
          <w:rStyle w:val="Internetlink"/>
          <w:rFonts w:ascii="標楷體" w:eastAsia="標楷體" w:hAnsi="標楷體" w:cs="標楷體"/>
          <w:szCs w:val="24"/>
        </w:rPr>
        <w:t>-authorities-activities.html</w:t>
      </w:r>
    </w:p>
    <w:p w14:paraId="653E044A" w14:textId="77777777" w:rsidR="000347D3" w:rsidRDefault="005967A0">
      <w:pPr>
        <w:pStyle w:val="Standard"/>
        <w:widowControl/>
        <w:spacing w:line="0" w:lineRule="atLeast"/>
        <w:ind w:left="1129" w:hanging="848"/>
        <w:outlineLvl w:val="0"/>
      </w:pPr>
      <w:r>
        <w:rPr>
          <w:rFonts w:ascii="標楷體" w:eastAsia="標楷體" w:hAnsi="標楷體"/>
          <w:sz w:val="28"/>
          <w:szCs w:val="28"/>
        </w:rPr>
        <w:t>（四）永續發展：</w:t>
      </w:r>
      <w:hyperlink r:id="rId10" w:history="1">
        <w:r>
          <w:rPr>
            <w:rStyle w:val="Internetlink"/>
            <w:rFonts w:ascii="標楷體" w:eastAsia="標楷體" w:hAnsi="標楷體"/>
            <w:szCs w:val="24"/>
          </w:rPr>
          <w:t>https://www.oecd.org/en/publications/sustainability-and-competition_18e2061c-en.html</w:t>
        </w:r>
      </w:hyperlink>
    </w:p>
    <w:p w14:paraId="1737871E" w14:textId="77777777" w:rsidR="000347D3" w:rsidRDefault="005967A0">
      <w:pPr>
        <w:pStyle w:val="Standard"/>
        <w:widowControl/>
        <w:spacing w:line="0" w:lineRule="atLeast"/>
        <w:ind w:left="1129" w:hanging="848"/>
        <w:outlineLvl w:val="0"/>
      </w:pPr>
      <w:r>
        <w:rPr>
          <w:rFonts w:ascii="標楷體" w:eastAsia="標楷體" w:hAnsi="標楷體"/>
          <w:sz w:val="28"/>
          <w:szCs w:val="28"/>
        </w:rPr>
        <w:t>（五）性別平等：</w:t>
      </w:r>
      <w:hyperlink r:id="rId11" w:history="1">
        <w:r>
          <w:rPr>
            <w:rStyle w:val="Internetlink"/>
            <w:rFonts w:ascii="標楷體" w:eastAsia="標楷體" w:hAnsi="標楷體"/>
            <w:szCs w:val="24"/>
          </w:rPr>
          <w:t>htt</w:t>
        </w:r>
        <w:r>
          <w:rPr>
            <w:rStyle w:val="Internetlink"/>
            <w:rFonts w:ascii="標楷體" w:eastAsia="標楷體" w:hAnsi="標楷體"/>
            <w:szCs w:val="24"/>
          </w:rPr>
          <w:t>ps://www.oecd.org/en/topics/sub-issues/competitive-and-fair-markets/gender-inclusive-competition-policy.html</w:t>
        </w:r>
      </w:hyperlink>
    </w:p>
    <w:p w14:paraId="48474385" w14:textId="77777777" w:rsidR="000347D3" w:rsidRDefault="000347D3">
      <w:pPr>
        <w:pStyle w:val="Standard"/>
        <w:widowControl/>
        <w:spacing w:before="0" w:after="180" w:line="0" w:lineRule="atLeast"/>
        <w:ind w:left="1129" w:hanging="848"/>
        <w:outlineLvl w:val="0"/>
        <w:rPr>
          <w:rFonts w:ascii="標楷體" w:eastAsia="標楷體" w:hAnsi="標楷體"/>
          <w:sz w:val="28"/>
          <w:szCs w:val="28"/>
        </w:rPr>
      </w:pPr>
    </w:p>
    <w:p w14:paraId="70F612F1" w14:textId="77777777" w:rsidR="000347D3" w:rsidRDefault="000347D3">
      <w:pPr>
        <w:pStyle w:val="Standard"/>
        <w:widowControl/>
        <w:spacing w:before="0" w:after="180" w:line="0" w:lineRule="atLeast"/>
        <w:ind w:left="1129" w:hanging="848"/>
        <w:outlineLvl w:val="0"/>
      </w:pPr>
    </w:p>
    <w:tbl>
      <w:tblPr>
        <w:tblW w:w="9465" w:type="dxa"/>
        <w:tblInd w:w="-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5"/>
      </w:tblGrid>
      <w:tr w:rsidR="000347D3" w14:paraId="47B6E633" w14:textId="77777777">
        <w:tblPrEx>
          <w:tblCellMar>
            <w:top w:w="0" w:type="dxa"/>
            <w:bottom w:w="0" w:type="dxa"/>
          </w:tblCellMar>
        </w:tblPrEx>
        <w:tc>
          <w:tcPr>
            <w:tcW w:w="9465" w:type="dxa"/>
            <w:tcBorders>
              <w:top w:val="single" w:sz="24" w:space="0" w:color="342A06"/>
              <w:left w:val="single" w:sz="24" w:space="0" w:color="342A06"/>
              <w:bottom w:val="single" w:sz="24" w:space="0" w:color="342A06"/>
              <w:right w:val="single" w:sz="24" w:space="0" w:color="342A06"/>
            </w:tcBorders>
            <w:shd w:val="clear" w:color="auto" w:fill="F6F9D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18849" w14:textId="77777777" w:rsidR="000347D3" w:rsidRDefault="005967A0">
            <w:pPr>
              <w:pStyle w:val="Standard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來稿電子檔請寄傳送電子郵件信箱：</w:t>
            </w:r>
            <w:hyperlink r:id="rId12" w:history="1">
              <w:r>
                <w:rPr>
                  <w:rStyle w:val="Internetlink"/>
                  <w:rFonts w:ascii="標楷體" w:eastAsia="標楷體" w:hAnsi="標楷體"/>
                  <w:sz w:val="28"/>
                  <w:szCs w:val="28"/>
                </w:rPr>
                <w:t>chiahua@ftc.gov.tw</w:t>
              </w:r>
            </w:hyperlink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，並註明「公平會第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屆研討會投稿」。</w:t>
            </w:r>
          </w:p>
          <w:p w14:paraId="0C161F2E" w14:textId="77777777" w:rsidR="000347D3" w:rsidRDefault="005967A0">
            <w:pPr>
              <w:pStyle w:val="Standard"/>
              <w:widowControl/>
              <w:tabs>
                <w:tab w:val="left" w:pos="285"/>
              </w:tabs>
              <w:spacing w:before="0" w:after="180" w:line="0" w:lineRule="atLeast"/>
              <w:outlineLvl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洽詢電話：（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2351-7588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436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；傳真：（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2397-5136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14:paraId="4EAA1F19" w14:textId="77777777" w:rsidR="000347D3" w:rsidRDefault="000347D3">
      <w:pPr>
        <w:pStyle w:val="Standard"/>
        <w:widowControl/>
        <w:spacing w:before="0" w:after="180" w:line="0" w:lineRule="atLeast"/>
        <w:ind w:left="1133"/>
        <w:outlineLvl w:val="0"/>
      </w:pPr>
    </w:p>
    <w:tbl>
      <w:tblPr>
        <w:tblW w:w="9456" w:type="dxa"/>
        <w:tblInd w:w="-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3584"/>
        <w:gridCol w:w="3578"/>
      </w:tblGrid>
      <w:tr w:rsidR="000347D3" w14:paraId="47F76B8F" w14:textId="77777777">
        <w:tblPrEx>
          <w:tblCellMar>
            <w:top w:w="0" w:type="dxa"/>
            <w:bottom w:w="0" w:type="dxa"/>
          </w:tblCellMar>
        </w:tblPrEx>
        <w:tc>
          <w:tcPr>
            <w:tcW w:w="9456" w:type="dxa"/>
            <w:gridSpan w:val="3"/>
            <w:tcBorders>
              <w:top w:val="single" w:sz="24" w:space="0" w:color="342A06"/>
              <w:left w:val="single" w:sz="24" w:space="0" w:color="342A06"/>
              <w:bottom w:val="single" w:sz="24" w:space="0" w:color="342A06"/>
              <w:right w:val="single" w:sz="24" w:space="0" w:color="342A06"/>
            </w:tcBorders>
            <w:shd w:val="clear" w:color="auto" w:fill="F6F9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E37C" w14:textId="77777777" w:rsidR="000347D3" w:rsidRDefault="005967A0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公平交易委員會</w:t>
            </w:r>
          </w:p>
          <w:p w14:paraId="655F1158" w14:textId="77777777" w:rsidR="000347D3" w:rsidRDefault="005967A0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第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33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屆「競爭政策與公平交易法學術研討會」</w:t>
            </w:r>
          </w:p>
          <w:p w14:paraId="0B293C35" w14:textId="77777777" w:rsidR="000347D3" w:rsidRDefault="005967A0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投稿報名表</w:t>
            </w:r>
          </w:p>
        </w:tc>
      </w:tr>
      <w:tr w:rsidR="000347D3" w14:paraId="58A3E943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4" w:type="dxa"/>
            <w:tcBorders>
              <w:left w:val="single" w:sz="24" w:space="0" w:color="342A06"/>
              <w:bottom w:val="single" w:sz="24" w:space="0" w:color="342A06"/>
            </w:tcBorders>
            <w:shd w:val="clear" w:color="auto" w:fill="F6F9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3087" w14:textId="77777777" w:rsidR="000347D3" w:rsidRDefault="005967A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162" w:type="dxa"/>
            <w:gridSpan w:val="2"/>
            <w:tcBorders>
              <w:left w:val="single" w:sz="24" w:space="0" w:color="342A06"/>
              <w:bottom w:val="single" w:sz="24" w:space="0" w:color="342A06"/>
              <w:right w:val="single" w:sz="24" w:space="0" w:color="342A0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943F" w14:textId="77777777" w:rsidR="000347D3" w:rsidRDefault="000347D3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347D3" w14:paraId="27242FDA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294" w:type="dxa"/>
            <w:tcBorders>
              <w:left w:val="single" w:sz="24" w:space="0" w:color="342A06"/>
              <w:bottom w:val="single" w:sz="24" w:space="0" w:color="342A06"/>
            </w:tcBorders>
            <w:shd w:val="clear" w:color="auto" w:fill="F6F9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87E8" w14:textId="77777777" w:rsidR="000347D3" w:rsidRDefault="005967A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機關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7162" w:type="dxa"/>
            <w:gridSpan w:val="2"/>
            <w:tcBorders>
              <w:left w:val="single" w:sz="24" w:space="0" w:color="342A06"/>
              <w:bottom w:val="single" w:sz="24" w:space="0" w:color="342A06"/>
              <w:right w:val="single" w:sz="24" w:space="0" w:color="342A0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9D95" w14:textId="77777777" w:rsidR="000347D3" w:rsidRDefault="000347D3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347D3" w14:paraId="19EA4B2F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294" w:type="dxa"/>
            <w:tcBorders>
              <w:left w:val="single" w:sz="24" w:space="0" w:color="342A06"/>
              <w:bottom w:val="single" w:sz="24" w:space="0" w:color="342A06"/>
            </w:tcBorders>
            <w:shd w:val="clear" w:color="auto" w:fill="F6F9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860D" w14:textId="77777777" w:rsidR="000347D3" w:rsidRDefault="005967A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經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歷</w:t>
            </w:r>
          </w:p>
        </w:tc>
        <w:tc>
          <w:tcPr>
            <w:tcW w:w="7162" w:type="dxa"/>
            <w:gridSpan w:val="2"/>
            <w:tcBorders>
              <w:left w:val="single" w:sz="24" w:space="0" w:color="342A06"/>
              <w:bottom w:val="single" w:sz="24" w:space="0" w:color="342A06"/>
              <w:right w:val="single" w:sz="24" w:space="0" w:color="342A0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81FB" w14:textId="77777777" w:rsidR="000347D3" w:rsidRDefault="000347D3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347D3" w14:paraId="6D2A97CA" w14:textId="7777777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294" w:type="dxa"/>
            <w:tcBorders>
              <w:left w:val="single" w:sz="24" w:space="0" w:color="342A06"/>
              <w:bottom w:val="single" w:sz="24" w:space="0" w:color="342A06"/>
            </w:tcBorders>
            <w:shd w:val="clear" w:color="auto" w:fill="F6F9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0B1D" w14:textId="77777777" w:rsidR="000347D3" w:rsidRDefault="005967A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專長領域</w:t>
            </w:r>
          </w:p>
        </w:tc>
        <w:tc>
          <w:tcPr>
            <w:tcW w:w="7162" w:type="dxa"/>
            <w:gridSpan w:val="2"/>
            <w:tcBorders>
              <w:left w:val="single" w:sz="24" w:space="0" w:color="342A06"/>
              <w:bottom w:val="single" w:sz="24" w:space="0" w:color="342A06"/>
              <w:right w:val="single" w:sz="24" w:space="0" w:color="342A0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247D" w14:textId="77777777" w:rsidR="000347D3" w:rsidRDefault="000347D3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347D3" w14:paraId="4B8A6A7A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94" w:type="dxa"/>
            <w:tcBorders>
              <w:left w:val="single" w:sz="24" w:space="0" w:color="342A06"/>
              <w:bottom w:val="single" w:sz="24" w:space="0" w:color="342A06"/>
            </w:tcBorders>
            <w:shd w:val="clear" w:color="auto" w:fill="F6F9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0C0F" w14:textId="77777777" w:rsidR="000347D3" w:rsidRDefault="005967A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7162" w:type="dxa"/>
            <w:gridSpan w:val="2"/>
            <w:tcBorders>
              <w:left w:val="single" w:sz="24" w:space="0" w:color="342A06"/>
              <w:bottom w:val="single" w:sz="24" w:space="0" w:color="342A06"/>
              <w:right w:val="single" w:sz="24" w:space="0" w:color="342A0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4FAD" w14:textId="77777777" w:rsidR="000347D3" w:rsidRDefault="000347D3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347D3" w14:paraId="4FCCAF7B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294" w:type="dxa"/>
            <w:tcBorders>
              <w:left w:val="single" w:sz="24" w:space="0" w:color="342A06"/>
              <w:bottom w:val="single" w:sz="24" w:space="0" w:color="342A06"/>
            </w:tcBorders>
            <w:shd w:val="clear" w:color="auto" w:fill="F6F9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A0DE" w14:textId="77777777" w:rsidR="000347D3" w:rsidRDefault="005967A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584" w:type="dxa"/>
            <w:tcBorders>
              <w:left w:val="single" w:sz="24" w:space="0" w:color="342A06"/>
              <w:bottom w:val="single" w:sz="24" w:space="0" w:color="342A0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1042" w14:textId="77777777" w:rsidR="000347D3" w:rsidRDefault="005967A0">
            <w:pPr>
              <w:pStyle w:val="Standard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市話：</w:t>
            </w:r>
          </w:p>
        </w:tc>
        <w:tc>
          <w:tcPr>
            <w:tcW w:w="3578" w:type="dxa"/>
            <w:tcBorders>
              <w:left w:val="single" w:sz="24" w:space="0" w:color="342A06"/>
              <w:bottom w:val="single" w:sz="24" w:space="0" w:color="342A06"/>
              <w:right w:val="single" w:sz="24" w:space="0" w:color="342A0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82E0" w14:textId="77777777" w:rsidR="000347D3" w:rsidRDefault="005967A0">
            <w:pPr>
              <w:pStyle w:val="Standard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手機：</w:t>
            </w:r>
          </w:p>
        </w:tc>
      </w:tr>
      <w:tr w:rsidR="000347D3" w14:paraId="4A6B599A" w14:textId="77777777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294" w:type="dxa"/>
            <w:tcBorders>
              <w:left w:val="single" w:sz="24" w:space="0" w:color="342A06"/>
              <w:bottom w:val="single" w:sz="24" w:space="0" w:color="342A06"/>
            </w:tcBorders>
            <w:shd w:val="clear" w:color="auto" w:fill="F6F9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CEEE" w14:textId="77777777" w:rsidR="000347D3" w:rsidRDefault="005967A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162" w:type="dxa"/>
            <w:gridSpan w:val="2"/>
            <w:tcBorders>
              <w:left w:val="single" w:sz="24" w:space="0" w:color="342A06"/>
              <w:bottom w:val="single" w:sz="24" w:space="0" w:color="342A06"/>
              <w:right w:val="single" w:sz="24" w:space="0" w:color="342A0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8B13" w14:textId="77777777" w:rsidR="000347D3" w:rsidRDefault="000347D3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347D3" w14:paraId="3998BA13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294" w:type="dxa"/>
            <w:tcBorders>
              <w:left w:val="single" w:sz="24" w:space="0" w:color="342A06"/>
              <w:bottom w:val="single" w:sz="24" w:space="0" w:color="342A06"/>
            </w:tcBorders>
            <w:shd w:val="clear" w:color="auto" w:fill="F6F9D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52F9" w14:textId="77777777" w:rsidR="000347D3" w:rsidRDefault="005967A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論文題目</w:t>
            </w:r>
          </w:p>
        </w:tc>
        <w:tc>
          <w:tcPr>
            <w:tcW w:w="7162" w:type="dxa"/>
            <w:gridSpan w:val="2"/>
            <w:tcBorders>
              <w:left w:val="single" w:sz="24" w:space="0" w:color="342A06"/>
              <w:bottom w:val="single" w:sz="24" w:space="0" w:color="342A06"/>
              <w:right w:val="single" w:sz="24" w:space="0" w:color="342A0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CEC1" w14:textId="77777777" w:rsidR="000347D3" w:rsidRDefault="000347D3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347D3" w14:paraId="4DBCFF3D" w14:textId="77777777">
        <w:tblPrEx>
          <w:tblCellMar>
            <w:top w:w="0" w:type="dxa"/>
            <w:bottom w:w="0" w:type="dxa"/>
          </w:tblCellMar>
        </w:tblPrEx>
        <w:trPr>
          <w:trHeight w:val="4884"/>
        </w:trPr>
        <w:tc>
          <w:tcPr>
            <w:tcW w:w="2294" w:type="dxa"/>
            <w:tcBorders>
              <w:left w:val="single" w:sz="24" w:space="0" w:color="342A06"/>
              <w:bottom w:val="single" w:sz="24" w:space="0" w:color="342A06"/>
            </w:tcBorders>
            <w:shd w:val="clear" w:color="auto" w:fill="F6F9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3D53" w14:textId="77777777" w:rsidR="000347D3" w:rsidRDefault="005967A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摘要</w:t>
            </w:r>
          </w:p>
          <w:p w14:paraId="03686B81" w14:textId="77777777" w:rsidR="000347D3" w:rsidRDefault="005967A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以</w:t>
            </w:r>
            <w:r>
              <w:rPr>
                <w:rFonts w:ascii="標楷體" w:eastAsia="標楷體" w:hAnsi="標楷體"/>
                <w:color w:val="000000"/>
                <w:szCs w:val="24"/>
              </w:rPr>
              <w:t>1,000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字為原則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162" w:type="dxa"/>
            <w:gridSpan w:val="2"/>
            <w:tcBorders>
              <w:left w:val="single" w:sz="24" w:space="0" w:color="342A06"/>
              <w:bottom w:val="single" w:sz="24" w:space="0" w:color="342A06"/>
              <w:right w:val="single" w:sz="24" w:space="0" w:color="342A0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D8E0" w14:textId="77777777" w:rsidR="000347D3" w:rsidRDefault="000347D3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66989648" w14:textId="77777777" w:rsidR="000347D3" w:rsidRDefault="005967A0">
      <w:pPr>
        <w:pStyle w:val="Standard"/>
        <w:widowControl/>
      </w:pPr>
      <w:hyperlink r:id="rId13" w:history="1"/>
    </w:p>
    <w:sectPr w:rsidR="000347D3">
      <w:footerReference w:type="default" r:id="rId14"/>
      <w:pgSz w:w="11906" w:h="16838"/>
      <w:pgMar w:top="1560" w:right="1558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6EEF8" w14:textId="77777777" w:rsidR="005967A0" w:rsidRDefault="005967A0">
      <w:r>
        <w:separator/>
      </w:r>
    </w:p>
  </w:endnote>
  <w:endnote w:type="continuationSeparator" w:id="0">
    <w:p w14:paraId="29741B1E" w14:textId="77777777" w:rsidR="005967A0" w:rsidRDefault="0059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8D9F" w14:textId="77777777" w:rsidR="00FA6E69" w:rsidRDefault="005967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640F" w14:textId="77777777" w:rsidR="005967A0" w:rsidRDefault="005967A0">
      <w:r>
        <w:rPr>
          <w:color w:val="000000"/>
        </w:rPr>
        <w:separator/>
      </w:r>
    </w:p>
  </w:footnote>
  <w:footnote w:type="continuationSeparator" w:id="0">
    <w:p w14:paraId="73542C9A" w14:textId="77777777" w:rsidR="005967A0" w:rsidRDefault="00596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1C18"/>
    <w:multiLevelType w:val="multilevel"/>
    <w:tmpl w:val="F656CF0C"/>
    <w:styleLink w:val="WWNum11"/>
    <w:lvl w:ilvl="0">
      <w:start w:val="1"/>
      <w:numFmt w:val="japaneseCounting"/>
      <w:lvlText w:val="（%1）"/>
      <w:lvlJc w:val="left"/>
      <w:pPr>
        <w:ind w:left="1166" w:hanging="885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1" w:hanging="480"/>
      </w:p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1129739E"/>
    <w:multiLevelType w:val="multilevel"/>
    <w:tmpl w:val="8B3010E0"/>
    <w:styleLink w:val="WWNum2"/>
    <w:lvl w:ilvl="0">
      <w:start w:val="1"/>
      <w:numFmt w:val="japaneseCounting"/>
      <w:lvlText w:val="(%1）"/>
      <w:lvlJc w:val="left"/>
      <w:pPr>
        <w:ind w:left="72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106" w:hanging="480"/>
      </w:pPr>
    </w:lvl>
    <w:lvl w:ilvl="2">
      <w:start w:val="1"/>
      <w:numFmt w:val="lowerRoman"/>
      <w:lvlText w:val="%3."/>
      <w:lvlJc w:val="right"/>
      <w:pPr>
        <w:ind w:left="1586" w:hanging="480"/>
      </w:pPr>
    </w:lvl>
    <w:lvl w:ilvl="3">
      <w:start w:val="1"/>
      <w:numFmt w:val="decimal"/>
      <w:lvlText w:val="%4."/>
      <w:lvlJc w:val="left"/>
      <w:pPr>
        <w:ind w:left="2066" w:hanging="480"/>
      </w:pPr>
    </w:lvl>
    <w:lvl w:ilvl="4">
      <w:start w:val="1"/>
      <w:numFmt w:val="ideographTraditional"/>
      <w:lvlText w:val="%5、"/>
      <w:lvlJc w:val="left"/>
      <w:pPr>
        <w:ind w:left="2546" w:hanging="480"/>
      </w:pPr>
    </w:lvl>
    <w:lvl w:ilvl="5">
      <w:start w:val="1"/>
      <w:numFmt w:val="lowerRoman"/>
      <w:lvlText w:val="%6."/>
      <w:lvlJc w:val="right"/>
      <w:pPr>
        <w:ind w:left="3026" w:hanging="480"/>
      </w:pPr>
    </w:lvl>
    <w:lvl w:ilvl="6">
      <w:start w:val="1"/>
      <w:numFmt w:val="decimal"/>
      <w:lvlText w:val="%7."/>
      <w:lvlJc w:val="left"/>
      <w:pPr>
        <w:ind w:left="3506" w:hanging="480"/>
      </w:pPr>
    </w:lvl>
    <w:lvl w:ilvl="7">
      <w:start w:val="1"/>
      <w:numFmt w:val="ideographTraditional"/>
      <w:lvlText w:val="%8、"/>
      <w:lvlJc w:val="left"/>
      <w:pPr>
        <w:ind w:left="3986" w:hanging="480"/>
      </w:pPr>
    </w:lvl>
    <w:lvl w:ilvl="8">
      <w:start w:val="1"/>
      <w:numFmt w:val="lowerRoman"/>
      <w:lvlText w:val="%9."/>
      <w:lvlJc w:val="right"/>
      <w:pPr>
        <w:ind w:left="4466" w:hanging="480"/>
      </w:pPr>
    </w:lvl>
  </w:abstractNum>
  <w:abstractNum w:abstractNumId="2" w15:restartNumberingAfterBreak="0">
    <w:nsid w:val="195E5AA2"/>
    <w:multiLevelType w:val="multilevel"/>
    <w:tmpl w:val="92F2C8C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1D253C4F"/>
    <w:multiLevelType w:val="multilevel"/>
    <w:tmpl w:val="AB4C2F62"/>
    <w:styleLink w:val="WWNum5"/>
    <w:lvl w:ilvl="0">
      <w:start w:val="1"/>
      <w:numFmt w:val="japaneseCounting"/>
      <w:lvlText w:val="(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106" w:hanging="480"/>
      </w:pPr>
    </w:lvl>
    <w:lvl w:ilvl="2">
      <w:start w:val="1"/>
      <w:numFmt w:val="lowerRoman"/>
      <w:lvlText w:val="%3."/>
      <w:lvlJc w:val="right"/>
      <w:pPr>
        <w:ind w:left="1586" w:hanging="480"/>
      </w:pPr>
    </w:lvl>
    <w:lvl w:ilvl="3">
      <w:start w:val="1"/>
      <w:numFmt w:val="decimal"/>
      <w:lvlText w:val="%4."/>
      <w:lvlJc w:val="left"/>
      <w:pPr>
        <w:ind w:left="2066" w:hanging="480"/>
      </w:pPr>
    </w:lvl>
    <w:lvl w:ilvl="4">
      <w:start w:val="1"/>
      <w:numFmt w:val="ideographTraditional"/>
      <w:lvlText w:val="%5、"/>
      <w:lvlJc w:val="left"/>
      <w:pPr>
        <w:ind w:left="2546" w:hanging="480"/>
      </w:pPr>
    </w:lvl>
    <w:lvl w:ilvl="5">
      <w:start w:val="1"/>
      <w:numFmt w:val="lowerRoman"/>
      <w:lvlText w:val="%6."/>
      <w:lvlJc w:val="right"/>
      <w:pPr>
        <w:ind w:left="3026" w:hanging="480"/>
      </w:pPr>
    </w:lvl>
    <w:lvl w:ilvl="6">
      <w:start w:val="1"/>
      <w:numFmt w:val="decimal"/>
      <w:lvlText w:val="%7."/>
      <w:lvlJc w:val="left"/>
      <w:pPr>
        <w:ind w:left="3506" w:hanging="480"/>
      </w:pPr>
    </w:lvl>
    <w:lvl w:ilvl="7">
      <w:start w:val="1"/>
      <w:numFmt w:val="ideographTraditional"/>
      <w:lvlText w:val="%8、"/>
      <w:lvlJc w:val="left"/>
      <w:pPr>
        <w:ind w:left="3986" w:hanging="480"/>
      </w:pPr>
    </w:lvl>
    <w:lvl w:ilvl="8">
      <w:start w:val="1"/>
      <w:numFmt w:val="lowerRoman"/>
      <w:lvlText w:val="%9."/>
      <w:lvlJc w:val="right"/>
      <w:pPr>
        <w:ind w:left="4466" w:hanging="480"/>
      </w:pPr>
    </w:lvl>
  </w:abstractNum>
  <w:abstractNum w:abstractNumId="4" w15:restartNumberingAfterBreak="0">
    <w:nsid w:val="1FEC4A4E"/>
    <w:multiLevelType w:val="multilevel"/>
    <w:tmpl w:val="B9FC9404"/>
    <w:styleLink w:val="WWNum7"/>
    <w:lvl w:ilvl="0">
      <w:start w:val="1"/>
      <w:numFmt w:val="japaneseCounting"/>
      <w:lvlText w:val="(%1）"/>
      <w:lvlJc w:val="left"/>
      <w:pPr>
        <w:ind w:left="72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106" w:hanging="480"/>
      </w:pPr>
    </w:lvl>
    <w:lvl w:ilvl="2">
      <w:start w:val="1"/>
      <w:numFmt w:val="lowerRoman"/>
      <w:lvlText w:val="%3."/>
      <w:lvlJc w:val="right"/>
      <w:pPr>
        <w:ind w:left="1586" w:hanging="480"/>
      </w:pPr>
    </w:lvl>
    <w:lvl w:ilvl="3">
      <w:start w:val="1"/>
      <w:numFmt w:val="decimal"/>
      <w:lvlText w:val="%4."/>
      <w:lvlJc w:val="left"/>
      <w:pPr>
        <w:ind w:left="2066" w:hanging="480"/>
      </w:pPr>
    </w:lvl>
    <w:lvl w:ilvl="4">
      <w:start w:val="1"/>
      <w:numFmt w:val="ideographTraditional"/>
      <w:lvlText w:val="%5、"/>
      <w:lvlJc w:val="left"/>
      <w:pPr>
        <w:ind w:left="2546" w:hanging="480"/>
      </w:pPr>
    </w:lvl>
    <w:lvl w:ilvl="5">
      <w:start w:val="1"/>
      <w:numFmt w:val="lowerRoman"/>
      <w:lvlText w:val="%6."/>
      <w:lvlJc w:val="right"/>
      <w:pPr>
        <w:ind w:left="3026" w:hanging="480"/>
      </w:pPr>
    </w:lvl>
    <w:lvl w:ilvl="6">
      <w:start w:val="1"/>
      <w:numFmt w:val="decimal"/>
      <w:lvlText w:val="%7."/>
      <w:lvlJc w:val="left"/>
      <w:pPr>
        <w:ind w:left="3506" w:hanging="480"/>
      </w:pPr>
    </w:lvl>
    <w:lvl w:ilvl="7">
      <w:start w:val="1"/>
      <w:numFmt w:val="ideographTraditional"/>
      <w:lvlText w:val="%8、"/>
      <w:lvlJc w:val="left"/>
      <w:pPr>
        <w:ind w:left="3986" w:hanging="480"/>
      </w:pPr>
    </w:lvl>
    <w:lvl w:ilvl="8">
      <w:start w:val="1"/>
      <w:numFmt w:val="lowerRoman"/>
      <w:lvlText w:val="%9."/>
      <w:lvlJc w:val="right"/>
      <w:pPr>
        <w:ind w:left="4466" w:hanging="480"/>
      </w:pPr>
    </w:lvl>
  </w:abstractNum>
  <w:abstractNum w:abstractNumId="5" w15:restartNumberingAfterBreak="0">
    <w:nsid w:val="1FFB1D69"/>
    <w:multiLevelType w:val="multilevel"/>
    <w:tmpl w:val="F2041A7A"/>
    <w:styleLink w:val="WWNum6"/>
    <w:lvl w:ilvl="0">
      <w:start w:val="1"/>
      <w:numFmt w:val="japaneseCounting"/>
      <w:lvlText w:val="(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106" w:hanging="480"/>
      </w:pPr>
    </w:lvl>
    <w:lvl w:ilvl="2">
      <w:start w:val="1"/>
      <w:numFmt w:val="lowerRoman"/>
      <w:lvlText w:val="%3."/>
      <w:lvlJc w:val="right"/>
      <w:pPr>
        <w:ind w:left="1586" w:hanging="480"/>
      </w:pPr>
    </w:lvl>
    <w:lvl w:ilvl="3">
      <w:start w:val="1"/>
      <w:numFmt w:val="decimal"/>
      <w:lvlText w:val="%4."/>
      <w:lvlJc w:val="left"/>
      <w:pPr>
        <w:ind w:left="2066" w:hanging="480"/>
      </w:pPr>
    </w:lvl>
    <w:lvl w:ilvl="4">
      <w:start w:val="1"/>
      <w:numFmt w:val="ideographTraditional"/>
      <w:lvlText w:val="%5、"/>
      <w:lvlJc w:val="left"/>
      <w:pPr>
        <w:ind w:left="2546" w:hanging="480"/>
      </w:pPr>
    </w:lvl>
    <w:lvl w:ilvl="5">
      <w:start w:val="1"/>
      <w:numFmt w:val="lowerRoman"/>
      <w:lvlText w:val="%6."/>
      <w:lvlJc w:val="right"/>
      <w:pPr>
        <w:ind w:left="3026" w:hanging="480"/>
      </w:pPr>
    </w:lvl>
    <w:lvl w:ilvl="6">
      <w:start w:val="1"/>
      <w:numFmt w:val="decimal"/>
      <w:lvlText w:val="%7."/>
      <w:lvlJc w:val="left"/>
      <w:pPr>
        <w:ind w:left="3506" w:hanging="480"/>
      </w:pPr>
    </w:lvl>
    <w:lvl w:ilvl="7">
      <w:start w:val="1"/>
      <w:numFmt w:val="ideographTraditional"/>
      <w:lvlText w:val="%8、"/>
      <w:lvlJc w:val="left"/>
      <w:pPr>
        <w:ind w:left="3986" w:hanging="480"/>
      </w:pPr>
    </w:lvl>
    <w:lvl w:ilvl="8">
      <w:start w:val="1"/>
      <w:numFmt w:val="lowerRoman"/>
      <w:lvlText w:val="%9."/>
      <w:lvlJc w:val="right"/>
      <w:pPr>
        <w:ind w:left="4466" w:hanging="480"/>
      </w:pPr>
    </w:lvl>
  </w:abstractNum>
  <w:abstractNum w:abstractNumId="6" w15:restartNumberingAfterBreak="0">
    <w:nsid w:val="28E04856"/>
    <w:multiLevelType w:val="multilevel"/>
    <w:tmpl w:val="9C284456"/>
    <w:styleLink w:val="WWNum1"/>
    <w:lvl w:ilvl="0">
      <w:start w:val="1"/>
      <w:numFmt w:val="japaneseCounting"/>
      <w:lvlText w:val="%1、"/>
      <w:lvlJc w:val="left"/>
      <w:pPr>
        <w:ind w:left="705" w:hanging="705"/>
      </w:pPr>
      <w:rPr>
        <w:rFonts w:eastAsia="標楷體" w:cs="Tahoma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EF41E7"/>
    <w:multiLevelType w:val="multilevel"/>
    <w:tmpl w:val="DC3C76AC"/>
    <w:styleLink w:val="WWNum10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184EEC"/>
    <w:multiLevelType w:val="multilevel"/>
    <w:tmpl w:val="DC9CE744"/>
    <w:styleLink w:val="WWNum3"/>
    <w:lvl w:ilvl="0">
      <w:start w:val="1"/>
      <w:numFmt w:val="japaneseCounting"/>
      <w:lvlText w:val="(%1）"/>
      <w:lvlJc w:val="left"/>
      <w:pPr>
        <w:ind w:left="866" w:hanging="720"/>
      </w:pPr>
    </w:lvl>
    <w:lvl w:ilvl="1">
      <w:start w:val="1"/>
      <w:numFmt w:val="ideographTraditional"/>
      <w:lvlText w:val="%2、"/>
      <w:lvlJc w:val="left"/>
      <w:pPr>
        <w:ind w:left="1106" w:hanging="480"/>
      </w:pPr>
    </w:lvl>
    <w:lvl w:ilvl="2">
      <w:start w:val="1"/>
      <w:numFmt w:val="lowerRoman"/>
      <w:lvlText w:val="%3."/>
      <w:lvlJc w:val="right"/>
      <w:pPr>
        <w:ind w:left="1586" w:hanging="480"/>
      </w:pPr>
    </w:lvl>
    <w:lvl w:ilvl="3">
      <w:start w:val="1"/>
      <w:numFmt w:val="decimal"/>
      <w:lvlText w:val="%4."/>
      <w:lvlJc w:val="left"/>
      <w:pPr>
        <w:ind w:left="2066" w:hanging="480"/>
      </w:pPr>
    </w:lvl>
    <w:lvl w:ilvl="4">
      <w:start w:val="1"/>
      <w:numFmt w:val="ideographTraditional"/>
      <w:lvlText w:val="%5、"/>
      <w:lvlJc w:val="left"/>
      <w:pPr>
        <w:ind w:left="2546" w:hanging="480"/>
      </w:pPr>
    </w:lvl>
    <w:lvl w:ilvl="5">
      <w:start w:val="1"/>
      <w:numFmt w:val="lowerRoman"/>
      <w:lvlText w:val="%6."/>
      <w:lvlJc w:val="right"/>
      <w:pPr>
        <w:ind w:left="3026" w:hanging="480"/>
      </w:pPr>
    </w:lvl>
    <w:lvl w:ilvl="6">
      <w:start w:val="1"/>
      <w:numFmt w:val="decimal"/>
      <w:lvlText w:val="%7."/>
      <w:lvlJc w:val="left"/>
      <w:pPr>
        <w:ind w:left="3506" w:hanging="480"/>
      </w:pPr>
    </w:lvl>
    <w:lvl w:ilvl="7">
      <w:start w:val="1"/>
      <w:numFmt w:val="ideographTraditional"/>
      <w:lvlText w:val="%8、"/>
      <w:lvlJc w:val="left"/>
      <w:pPr>
        <w:ind w:left="3986" w:hanging="480"/>
      </w:pPr>
    </w:lvl>
    <w:lvl w:ilvl="8">
      <w:start w:val="1"/>
      <w:numFmt w:val="lowerRoman"/>
      <w:lvlText w:val="%9."/>
      <w:lvlJc w:val="right"/>
      <w:pPr>
        <w:ind w:left="4466" w:hanging="480"/>
      </w:pPr>
    </w:lvl>
  </w:abstractNum>
  <w:abstractNum w:abstractNumId="9" w15:restartNumberingAfterBreak="0">
    <w:nsid w:val="68FE3685"/>
    <w:multiLevelType w:val="multilevel"/>
    <w:tmpl w:val="A99EBB54"/>
    <w:styleLink w:val="WWNum4"/>
    <w:lvl w:ilvl="0">
      <w:start w:val="1"/>
      <w:numFmt w:val="japaneseCounting"/>
      <w:lvlText w:val="(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106" w:hanging="480"/>
      </w:pPr>
    </w:lvl>
    <w:lvl w:ilvl="2">
      <w:start w:val="1"/>
      <w:numFmt w:val="lowerRoman"/>
      <w:lvlText w:val="%3."/>
      <w:lvlJc w:val="right"/>
      <w:pPr>
        <w:ind w:left="1586" w:hanging="480"/>
      </w:pPr>
    </w:lvl>
    <w:lvl w:ilvl="3">
      <w:start w:val="1"/>
      <w:numFmt w:val="decimal"/>
      <w:lvlText w:val="%4."/>
      <w:lvlJc w:val="left"/>
      <w:pPr>
        <w:ind w:left="2066" w:hanging="480"/>
      </w:pPr>
    </w:lvl>
    <w:lvl w:ilvl="4">
      <w:start w:val="1"/>
      <w:numFmt w:val="ideographTraditional"/>
      <w:lvlText w:val="%5、"/>
      <w:lvlJc w:val="left"/>
      <w:pPr>
        <w:ind w:left="2546" w:hanging="480"/>
      </w:pPr>
    </w:lvl>
    <w:lvl w:ilvl="5">
      <w:start w:val="1"/>
      <w:numFmt w:val="lowerRoman"/>
      <w:lvlText w:val="%6."/>
      <w:lvlJc w:val="right"/>
      <w:pPr>
        <w:ind w:left="3026" w:hanging="480"/>
      </w:pPr>
    </w:lvl>
    <w:lvl w:ilvl="6">
      <w:start w:val="1"/>
      <w:numFmt w:val="decimal"/>
      <w:lvlText w:val="%7."/>
      <w:lvlJc w:val="left"/>
      <w:pPr>
        <w:ind w:left="3506" w:hanging="480"/>
      </w:pPr>
    </w:lvl>
    <w:lvl w:ilvl="7">
      <w:start w:val="1"/>
      <w:numFmt w:val="ideographTraditional"/>
      <w:lvlText w:val="%8、"/>
      <w:lvlJc w:val="left"/>
      <w:pPr>
        <w:ind w:left="3986" w:hanging="480"/>
      </w:pPr>
    </w:lvl>
    <w:lvl w:ilvl="8">
      <w:start w:val="1"/>
      <w:numFmt w:val="lowerRoman"/>
      <w:lvlText w:val="%9."/>
      <w:lvlJc w:val="right"/>
      <w:pPr>
        <w:ind w:left="4466" w:hanging="480"/>
      </w:pPr>
    </w:lvl>
  </w:abstractNum>
  <w:abstractNum w:abstractNumId="10" w15:restartNumberingAfterBreak="0">
    <w:nsid w:val="6D5D557B"/>
    <w:multiLevelType w:val="multilevel"/>
    <w:tmpl w:val="4AA4DFA6"/>
    <w:styleLink w:val="WWNum9"/>
    <w:lvl w:ilvl="0">
      <w:start w:val="1"/>
      <w:numFmt w:val="japaneseCounting"/>
      <w:lvlText w:val="%1、"/>
      <w:lvlJc w:val="left"/>
      <w:pPr>
        <w:ind w:left="705" w:hanging="705"/>
      </w:pPr>
      <w:rPr>
        <w:rFonts w:eastAsia="標楷體" w:cs="Tahoma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074F0E"/>
    <w:multiLevelType w:val="multilevel"/>
    <w:tmpl w:val="144298A8"/>
    <w:styleLink w:val="WWNum8"/>
    <w:lvl w:ilvl="0">
      <w:start w:val="1"/>
      <w:numFmt w:val="japaneseCounting"/>
      <w:lvlText w:val="(%1）"/>
      <w:lvlJc w:val="left"/>
      <w:pPr>
        <w:ind w:left="72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106" w:hanging="480"/>
      </w:pPr>
    </w:lvl>
    <w:lvl w:ilvl="2">
      <w:start w:val="1"/>
      <w:numFmt w:val="lowerRoman"/>
      <w:lvlText w:val="%3."/>
      <w:lvlJc w:val="right"/>
      <w:pPr>
        <w:ind w:left="1586" w:hanging="480"/>
      </w:pPr>
    </w:lvl>
    <w:lvl w:ilvl="3">
      <w:start w:val="1"/>
      <w:numFmt w:val="decimal"/>
      <w:lvlText w:val="%4."/>
      <w:lvlJc w:val="left"/>
      <w:pPr>
        <w:ind w:left="2066" w:hanging="480"/>
      </w:pPr>
    </w:lvl>
    <w:lvl w:ilvl="4">
      <w:start w:val="1"/>
      <w:numFmt w:val="ideographTraditional"/>
      <w:lvlText w:val="%5、"/>
      <w:lvlJc w:val="left"/>
      <w:pPr>
        <w:ind w:left="2546" w:hanging="480"/>
      </w:pPr>
    </w:lvl>
    <w:lvl w:ilvl="5">
      <w:start w:val="1"/>
      <w:numFmt w:val="lowerRoman"/>
      <w:lvlText w:val="%6."/>
      <w:lvlJc w:val="right"/>
      <w:pPr>
        <w:ind w:left="3026" w:hanging="480"/>
      </w:pPr>
    </w:lvl>
    <w:lvl w:ilvl="6">
      <w:start w:val="1"/>
      <w:numFmt w:val="decimal"/>
      <w:lvlText w:val="%7."/>
      <w:lvlJc w:val="left"/>
      <w:pPr>
        <w:ind w:left="3506" w:hanging="480"/>
      </w:pPr>
    </w:lvl>
    <w:lvl w:ilvl="7">
      <w:start w:val="1"/>
      <w:numFmt w:val="ideographTraditional"/>
      <w:lvlText w:val="%8、"/>
      <w:lvlJc w:val="left"/>
      <w:pPr>
        <w:ind w:left="3986" w:hanging="480"/>
      </w:pPr>
    </w:lvl>
    <w:lvl w:ilvl="8">
      <w:start w:val="1"/>
      <w:numFmt w:val="lowerRoman"/>
      <w:lvlText w:val="%9."/>
      <w:lvlJc w:val="right"/>
      <w:pPr>
        <w:ind w:left="4466" w:hanging="4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</w:num>
  <w:num w:numId="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47D3"/>
    <w:rsid w:val="000347D3"/>
    <w:rsid w:val="0011170D"/>
    <w:rsid w:val="005967A0"/>
    <w:rsid w:val="0098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F6CD"/>
  <w15:docId w15:val="{621BB36D-8E85-4C77-ABDF-2B0B3A75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Standard"/>
    <w:uiPriority w:val="9"/>
    <w:semiHidden/>
    <w:unhideWhenUsed/>
    <w:qFormat/>
    <w:pPr>
      <w:widowControl/>
      <w:spacing w:before="280" w:after="280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before="156" w:after="156" w:line="360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Pr>
      <w:rFonts w:ascii="標楷體" w:eastAsia="標楷體" w:hAnsi="標楷體" w:cs="標楷體"/>
      <w:color w:val="000000"/>
      <w:kern w:val="0"/>
      <w:szCs w:val="24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widowControl/>
      <w:textAlignment w:val="auto"/>
    </w:pPr>
    <w:rPr>
      <w:rFonts w:ascii="Times New Roman" w:hAnsi="Times New Roman" w:cs="Times New Roman"/>
      <w:sz w:val="20"/>
      <w:szCs w:val="20"/>
    </w:rPr>
  </w:style>
  <w:style w:type="character" w:customStyle="1" w:styleId="40">
    <w:name w:val="標題 4 字元"/>
    <w:basedOn w:val="a0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styleId="ac">
    <w:name w:val="Emphasis"/>
    <w:basedOn w:val="a0"/>
    <w:rPr>
      <w:i/>
      <w:iCs/>
    </w:rPr>
  </w:style>
  <w:style w:type="character" w:styleId="ad">
    <w:name w:val="FollowedHyperlink"/>
    <w:basedOn w:val="a0"/>
    <w:rPr>
      <w:color w:val="800080"/>
      <w:u w:val="single"/>
    </w:rPr>
  </w:style>
  <w:style w:type="character" w:customStyle="1" w:styleId="ListLabel1">
    <w:name w:val="ListLabel 1"/>
    <w:rPr>
      <w:rFonts w:eastAsia="標楷體" w:cs="Tahoma"/>
      <w:color w:val="000000"/>
      <w:sz w:val="28"/>
      <w:u w:val="none"/>
    </w:rPr>
  </w:style>
  <w:style w:type="character" w:customStyle="1" w:styleId="ListLabel2">
    <w:name w:val="ListLabel 2"/>
    <w:rPr>
      <w:rFonts w:eastAsia="標楷體"/>
    </w:rPr>
  </w:style>
  <w:style w:type="character" w:customStyle="1" w:styleId="ListLabel3">
    <w:name w:val="ListLabel 3"/>
    <w:rPr>
      <w:rFonts w:eastAsia="標楷體"/>
    </w:rPr>
  </w:style>
  <w:style w:type="character" w:customStyle="1" w:styleId="ListLabel4">
    <w:name w:val="ListLabel 4"/>
    <w:rPr>
      <w:rFonts w:eastAsia="標楷體"/>
    </w:rPr>
  </w:style>
  <w:style w:type="character" w:customStyle="1" w:styleId="ListLabel5">
    <w:name w:val="ListLabel 5"/>
    <w:rPr>
      <w:rFonts w:eastAsia="標楷體" w:cs="Tahoma"/>
      <w:color w:val="000000"/>
      <w:sz w:val="28"/>
      <w:u w:val="none"/>
    </w:rPr>
  </w:style>
  <w:style w:type="character" w:customStyle="1" w:styleId="ListLabel6">
    <w:name w:val="ListLabel 6"/>
    <w:rPr>
      <w:rFonts w:eastAsia="標楷體"/>
      <w:sz w:val="28"/>
      <w:szCs w:val="28"/>
    </w:rPr>
  </w:style>
  <w:style w:type="character" w:customStyle="1" w:styleId="ListLabel7">
    <w:name w:val="ListLabel 7"/>
  </w:style>
  <w:style w:type="character" w:customStyle="1" w:styleId="ListLabel8">
    <w:name w:val="ListLabel 8"/>
    <w:rPr>
      <w:rFonts w:ascii="標楷體" w:eastAsia="標楷體" w:hAnsi="標楷體" w:cs="Tahoma"/>
      <w:sz w:val="28"/>
      <w:szCs w:val="28"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en/topics/sub-issues/competition-enforcement/transparency-and-procedural-fairness-in-competition-law-enforcement.html" TargetMode="External"/><Relationship Id="rId13" Type="http://schemas.openxmlformats.org/officeDocument/2006/relationships/hyperlink" Target="https://www.oecd.org/en/events/2025/06/assessing-the-impact-of-competition-authorities-activiti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ecd.org/en/topics/competition-and-digital-economy.html" TargetMode="External"/><Relationship Id="rId12" Type="http://schemas.openxmlformats.org/officeDocument/2006/relationships/hyperlink" Target="mailto:chiahua@ftc.gov.t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ecd.org/en/topics/sub-issues/competitive-and-fair-markets/gender-inclusive-competition-policy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ecd.org/en/publications/sustainability-and-competition_18e2061c-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ecd.org/en/events/2025/06/assessing-the-impact-of-competition-authorities-activities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林佳華</dc:creator>
  <cp:lastModifiedBy>user</cp:lastModifiedBy>
  <cp:revision>2</cp:revision>
  <cp:lastPrinted>2025-02-19T06:36:00Z</cp:lastPrinted>
  <dcterms:created xsi:type="dcterms:W3CDTF">2026-03-09T03:31:00Z</dcterms:created>
  <dcterms:modified xsi:type="dcterms:W3CDTF">2026-03-09T03:31:00Z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